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E5B3" w14:textId="77777777" w:rsidR="004D7957" w:rsidRPr="004D7957" w:rsidRDefault="004D7957" w:rsidP="004D7957">
      <w:pPr>
        <w:autoSpaceDN w:val="0"/>
        <w:ind w:left="1416" w:firstLine="708"/>
        <w:jc w:val="right"/>
        <w:rPr>
          <w:rFonts w:eastAsia="Times New Roman"/>
          <w:szCs w:val="24"/>
          <w:lang w:bidi="en-US"/>
        </w:rPr>
      </w:pPr>
      <w:bookmarkStart w:id="0" w:name="_GoBack"/>
      <w:bookmarkEnd w:id="0"/>
      <w:r w:rsidRPr="004D7957">
        <w:rPr>
          <w:rFonts w:eastAsia="Times New Roman"/>
          <w:szCs w:val="24"/>
          <w:lang w:bidi="en-US"/>
        </w:rPr>
        <w:t>УТВЕРЖДЕНЫ</w:t>
      </w:r>
    </w:p>
    <w:p w14:paraId="4DF3F4CB" w14:textId="77777777" w:rsidR="004D7957" w:rsidRPr="004D7957" w:rsidRDefault="004D7957" w:rsidP="004D7957">
      <w:pPr>
        <w:autoSpaceDN w:val="0"/>
        <w:ind w:firstLine="0"/>
        <w:jc w:val="right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постановлением администрации</w:t>
      </w:r>
    </w:p>
    <w:p w14:paraId="2302F7D3" w14:textId="77777777" w:rsidR="004D7957" w:rsidRPr="004D7957" w:rsidRDefault="004D7957" w:rsidP="004D7957">
      <w:pPr>
        <w:autoSpaceDN w:val="0"/>
        <w:ind w:firstLine="0"/>
        <w:jc w:val="right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Балахнинского муниципального</w:t>
      </w:r>
    </w:p>
    <w:p w14:paraId="43EA1898" w14:textId="77777777" w:rsidR="004D7957" w:rsidRPr="004D7957" w:rsidRDefault="004D7957" w:rsidP="004D7957">
      <w:pPr>
        <w:autoSpaceDN w:val="0"/>
        <w:ind w:firstLine="0"/>
        <w:jc w:val="right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округа Нижегородской области</w:t>
      </w:r>
    </w:p>
    <w:p w14:paraId="06BE48E1" w14:textId="77777777" w:rsidR="004D7957" w:rsidRPr="004D7957" w:rsidRDefault="004D7957" w:rsidP="004D7957">
      <w:pPr>
        <w:autoSpaceDN w:val="0"/>
        <w:ind w:left="5103" w:firstLine="0"/>
        <w:jc w:val="right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     от ______________ №_____ </w:t>
      </w:r>
    </w:p>
    <w:p w14:paraId="4CFE820E" w14:textId="77777777" w:rsidR="004D7957" w:rsidRPr="004D7957" w:rsidRDefault="004D7957" w:rsidP="004D7957">
      <w:pPr>
        <w:autoSpaceDN w:val="0"/>
        <w:spacing w:line="276" w:lineRule="auto"/>
        <w:ind w:firstLine="5670"/>
        <w:jc w:val="right"/>
        <w:rPr>
          <w:rFonts w:eastAsia="Times New Roman"/>
          <w:szCs w:val="24"/>
          <w:lang w:bidi="en-US"/>
        </w:rPr>
      </w:pPr>
    </w:p>
    <w:p w14:paraId="5AD03444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0072051A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b/>
          <w:bCs/>
          <w:szCs w:val="24"/>
          <w:lang w:bidi="en-US"/>
        </w:rPr>
      </w:pPr>
      <w:r w:rsidRPr="004D7957">
        <w:rPr>
          <w:rFonts w:eastAsia="Times New Roman"/>
          <w:b/>
          <w:bCs/>
          <w:szCs w:val="24"/>
          <w:lang w:bidi="en-US"/>
        </w:rPr>
        <w:t>Основные направления</w:t>
      </w:r>
    </w:p>
    <w:p w14:paraId="313A553E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b/>
          <w:bCs/>
          <w:szCs w:val="24"/>
          <w:lang w:bidi="en-US"/>
        </w:rPr>
        <w:t>бюджетной и налоговой политики в Балахнинском муниципальном округе Нижегородской области на 2024 год и плановый период 2025 и 2026 годов</w:t>
      </w:r>
    </w:p>
    <w:p w14:paraId="25E4F81A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5C0ED4D9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Основные направления бюджетной и налоговой политики в Балахнинском муниципальном округе Нижегородской области на 2024 год и на плановый период 2025 и 2026 годов разработаны в соответствии с Постановлением Правительства Нижегородской области от 13.09.2023 года № 832 «Об утверждении основных направлений бюджетной и налоговой политики в Нижегородской области на 2024 год и на плановый период 2025 и 2026 годов», со статьей 23 Решения Совета депутатов Балахнинского муниципального округа Нижегородской области от 22 октября 2020 года № 40 «Об утверждении Положения о бюджетном процессе в Балахнинском муниципальном округе Нижегородской области» с целью определения условий и основных подходов к формированию проекта бюджета Балахнинского муниципального округа на 2024 год и на плановый период 2025 и 2026 годов, обеспечения прозрачности и открытости бюджетного планирования.</w:t>
      </w:r>
    </w:p>
    <w:p w14:paraId="40087165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b/>
          <w:bCs/>
          <w:color w:val="000000"/>
          <w:szCs w:val="24"/>
          <w:lang w:bidi="en-US"/>
        </w:rPr>
      </w:pPr>
      <w:r w:rsidRPr="004D7957">
        <w:rPr>
          <w:rFonts w:eastAsia="Times New Roman"/>
          <w:bCs/>
          <w:szCs w:val="24"/>
          <w:lang w:bidi="en-US"/>
        </w:rPr>
        <w:t>Бюджетная и налоговая политика Балахнинского муниципального округа Нижегородской области на среднесрочную перспективу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Указами Президента Российской Федерации от 7 мая 2012 г. № 597 «О мероприятиях по реализации государственной социальной политики», от 7 мая 2018 г. № 204 «О национальных целях и стратегических задачах развития Российской Федерации на период до 2024 года» и от 21 июля 2020 г. № 474 «О национальных целях развития Российской Федерации на период до 2030 года»,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г. № 889, Прогнозом социально-экономического развития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13.11.2020 № 1593</w:t>
      </w:r>
      <w:r w:rsidRPr="004D7957">
        <w:rPr>
          <w:rFonts w:eastAsia="Times New Roman"/>
          <w:bCs/>
          <w:color w:val="000000"/>
          <w:szCs w:val="24"/>
          <w:lang w:bidi="en-US"/>
        </w:rPr>
        <w:t>.</w:t>
      </w:r>
    </w:p>
    <w:p w14:paraId="1EF308B5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Times New Roman"/>
          <w:bCs/>
          <w:szCs w:val="24"/>
          <w:lang w:bidi="en-US"/>
        </w:rPr>
      </w:pPr>
    </w:p>
    <w:p w14:paraId="6CA1D980" w14:textId="77777777" w:rsidR="004D7957" w:rsidRPr="004D7957" w:rsidRDefault="004D7957" w:rsidP="004D7957">
      <w:pPr>
        <w:autoSpaceDN w:val="0"/>
        <w:spacing w:line="276" w:lineRule="auto"/>
        <w:ind w:left="720" w:firstLine="0"/>
        <w:jc w:val="center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b/>
          <w:bCs/>
          <w:szCs w:val="24"/>
          <w:lang w:bidi="en-US"/>
        </w:rPr>
        <w:t>1. Основные итоги реализации бюджетной и налоговой политики Балахнинского муниципального округа</w:t>
      </w:r>
      <w:r w:rsidRPr="004D7957">
        <w:rPr>
          <w:rFonts w:eastAsia="Times New Roman"/>
          <w:szCs w:val="24"/>
          <w:lang w:bidi="en-US"/>
        </w:rPr>
        <w:t xml:space="preserve"> </w:t>
      </w:r>
      <w:r w:rsidRPr="004D7957">
        <w:rPr>
          <w:rFonts w:eastAsia="Times New Roman"/>
          <w:b/>
          <w:bCs/>
          <w:szCs w:val="24"/>
          <w:lang w:bidi="en-US"/>
        </w:rPr>
        <w:t>в 2021-2023 годах</w:t>
      </w:r>
    </w:p>
    <w:p w14:paraId="1821E3DC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672F392C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Бюджетная и налоговая политика Балахнинского муниципального округа в 2021-2022 годах была направлена на решение задач бюджетной консолидации в целях обеспечения устойчивости и сбалансированности бюджета Балахнинского муниципального округа. </w:t>
      </w:r>
    </w:p>
    <w:p w14:paraId="19B14D6A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Реализации основных направлений бюджетной политики способствовало исполнение Плана мероприятий по росту доходов, оптимизации расходов и совершенствованию долговой политики Балахнинского муниципального округа на 2021-2024 годы, утвержденного постановлением администрации Балахнинского муниципального округа Нижегородской области от 16.08.2021 №1486. </w:t>
      </w:r>
    </w:p>
    <w:p w14:paraId="41F39BB9" w14:textId="77777777" w:rsidR="004D7957" w:rsidRPr="004D7957" w:rsidRDefault="004D7957" w:rsidP="004D7957">
      <w:pPr>
        <w:autoSpaceDN w:val="0"/>
        <w:spacing w:line="276" w:lineRule="auto"/>
        <w:ind w:firstLine="0"/>
        <w:jc w:val="left"/>
        <w:rPr>
          <w:rFonts w:eastAsia="Times New Roman"/>
          <w:color w:val="000000"/>
          <w:szCs w:val="24"/>
          <w:lang w:bidi="en-US"/>
        </w:rPr>
      </w:pPr>
    </w:p>
    <w:p w14:paraId="39A9D53C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color w:val="000000"/>
          <w:szCs w:val="24"/>
          <w:lang w:bidi="en-US"/>
        </w:rPr>
      </w:pPr>
      <w:r w:rsidRPr="004D7957">
        <w:rPr>
          <w:rFonts w:eastAsia="Times New Roman"/>
          <w:color w:val="000000"/>
          <w:szCs w:val="24"/>
          <w:lang w:bidi="en-US"/>
        </w:rPr>
        <w:lastRenderedPageBreak/>
        <w:t>Динамика основных показателей бюджета Балахнинского муниципального округа за 2021-2022 годы</w:t>
      </w:r>
    </w:p>
    <w:p w14:paraId="43662E25" w14:textId="77777777" w:rsidR="004D7957" w:rsidRPr="004D7957" w:rsidRDefault="004D7957" w:rsidP="004D7957">
      <w:pPr>
        <w:autoSpaceDN w:val="0"/>
        <w:spacing w:line="276" w:lineRule="auto"/>
        <w:ind w:firstLine="567"/>
        <w:jc w:val="right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color w:val="000000"/>
          <w:szCs w:val="24"/>
          <w:lang w:bidi="en-US"/>
        </w:rPr>
        <w:t>млн. рублей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2"/>
        <w:gridCol w:w="1417"/>
        <w:gridCol w:w="1528"/>
        <w:gridCol w:w="1415"/>
        <w:gridCol w:w="1448"/>
      </w:tblGrid>
      <w:tr w:rsidR="004D7957" w:rsidRPr="004D7957" w14:paraId="5028EA8A" w14:textId="77777777" w:rsidTr="00392D9F">
        <w:trPr>
          <w:trHeight w:val="425"/>
          <w:tblHeader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8FE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eastAsia="Times New Roman"/>
                <w:i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7329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rFonts w:eastAsia="Times New Roman"/>
                <w:szCs w:val="24"/>
                <w:lang w:bidi="en-US"/>
              </w:rPr>
            </w:pPr>
            <w:r w:rsidRPr="004D7957">
              <w:rPr>
                <w:rFonts w:eastAsia="Times New Roman"/>
                <w:szCs w:val="24"/>
                <w:lang w:bidi="en-US"/>
              </w:rPr>
              <w:t>2021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266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83"/>
              <w:jc w:val="center"/>
              <w:rPr>
                <w:rFonts w:eastAsia="Times New Roman"/>
                <w:szCs w:val="24"/>
                <w:lang w:bidi="en-US"/>
              </w:rPr>
            </w:pPr>
            <w:r w:rsidRPr="004D7957">
              <w:rPr>
                <w:rFonts w:eastAsia="Times New Roman"/>
                <w:szCs w:val="24"/>
                <w:lang w:bidi="en-US"/>
              </w:rPr>
              <w:t xml:space="preserve">темп роста, %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591D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2"/>
              <w:jc w:val="center"/>
              <w:rPr>
                <w:rFonts w:eastAsia="Times New Roman"/>
                <w:szCs w:val="24"/>
                <w:lang w:bidi="en-US"/>
              </w:rPr>
            </w:pPr>
            <w:r w:rsidRPr="004D7957">
              <w:rPr>
                <w:rFonts w:eastAsia="Times New Roman"/>
                <w:szCs w:val="24"/>
                <w:lang w:bidi="en-US"/>
              </w:rPr>
              <w:t>2022 год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8102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83"/>
              <w:jc w:val="center"/>
              <w:rPr>
                <w:rFonts w:eastAsia="Times New Roman"/>
                <w:szCs w:val="24"/>
                <w:lang w:bidi="en-US"/>
              </w:rPr>
            </w:pPr>
            <w:r w:rsidRPr="004D7957">
              <w:rPr>
                <w:rFonts w:eastAsia="Times New Roman"/>
                <w:szCs w:val="24"/>
                <w:lang w:bidi="en-US"/>
              </w:rPr>
              <w:t xml:space="preserve">темп роста, % </w:t>
            </w:r>
          </w:p>
        </w:tc>
      </w:tr>
      <w:tr w:rsidR="004D7957" w:rsidRPr="004D7957" w14:paraId="23FC7DD2" w14:textId="77777777" w:rsidTr="00392D9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8E8B" w14:textId="77777777" w:rsidR="004D7957" w:rsidRPr="004D7957" w:rsidRDefault="004D7957" w:rsidP="004D7957">
            <w:pPr>
              <w:autoSpaceDN w:val="0"/>
              <w:spacing w:line="276" w:lineRule="auto"/>
              <w:ind w:firstLine="29"/>
              <w:jc w:val="left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 xml:space="preserve">Доходы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3F3E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2 325,6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F1B5" w14:textId="77777777" w:rsidR="004D7957" w:rsidRPr="004D7957" w:rsidRDefault="004D7957" w:rsidP="004D7957">
            <w:pPr>
              <w:autoSpaceDN w:val="0"/>
              <w:spacing w:line="276" w:lineRule="auto"/>
              <w:ind w:firstLine="41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103,5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91D5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2 790,4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737D" w14:textId="77777777" w:rsidR="004D7957" w:rsidRPr="004D7957" w:rsidRDefault="004D7957" w:rsidP="004D7957">
            <w:pPr>
              <w:autoSpaceDN w:val="0"/>
              <w:spacing w:line="276" w:lineRule="auto"/>
              <w:ind w:firstLine="41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120,0</w:t>
            </w:r>
          </w:p>
        </w:tc>
      </w:tr>
      <w:tr w:rsidR="004D7957" w:rsidRPr="004D7957" w14:paraId="42ABDC5C" w14:textId="77777777" w:rsidTr="00392D9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9B0F" w14:textId="77777777" w:rsidR="004D7957" w:rsidRPr="004D7957" w:rsidRDefault="004D7957" w:rsidP="004D7957">
            <w:pPr>
              <w:autoSpaceDN w:val="0"/>
              <w:spacing w:line="276" w:lineRule="auto"/>
              <w:ind w:firstLine="29"/>
              <w:jc w:val="left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в том числе 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6A02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814,9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CD94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111,5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9489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854,1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29A8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104,8</w:t>
            </w:r>
          </w:p>
        </w:tc>
      </w:tr>
      <w:tr w:rsidR="004D7957" w:rsidRPr="004D7957" w14:paraId="1755E10E" w14:textId="77777777" w:rsidTr="00392D9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9674" w14:textId="77777777" w:rsidR="004D7957" w:rsidRPr="004D7957" w:rsidRDefault="004D7957" w:rsidP="004D7957">
            <w:pPr>
              <w:autoSpaceDN w:val="0"/>
              <w:spacing w:line="276" w:lineRule="auto"/>
              <w:ind w:firstLine="29"/>
              <w:jc w:val="left"/>
              <w:rPr>
                <w:rFonts w:eastAsia="Times New Roman"/>
                <w:bCs/>
                <w:szCs w:val="24"/>
                <w:lang w:val="en-US" w:bidi="en-US"/>
              </w:rPr>
            </w:pPr>
            <w:proofErr w:type="spellStart"/>
            <w:r w:rsidRPr="004D7957">
              <w:rPr>
                <w:rFonts w:eastAsia="Times New Roman"/>
                <w:bCs/>
                <w:szCs w:val="24"/>
                <w:lang w:val="en-US" w:bidi="en-US"/>
              </w:rPr>
              <w:t>Безвозмездные</w:t>
            </w:r>
            <w:proofErr w:type="spellEnd"/>
            <w:r w:rsidRPr="004D7957">
              <w:rPr>
                <w:rFonts w:eastAsia="Times New Roman"/>
                <w:bCs/>
                <w:szCs w:val="24"/>
                <w:lang w:val="en-US" w:bidi="en-US"/>
              </w:rPr>
              <w:t xml:space="preserve"> </w:t>
            </w:r>
            <w:proofErr w:type="spellStart"/>
            <w:r w:rsidRPr="004D7957">
              <w:rPr>
                <w:rFonts w:eastAsia="Times New Roman"/>
                <w:bCs/>
                <w:szCs w:val="24"/>
                <w:lang w:val="en-US" w:bidi="en-US"/>
              </w:rPr>
              <w:t>поступления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C299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1 510,7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34FC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99,7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7360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1 936,4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FCD2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Cs w:val="24"/>
                <w:lang w:bidi="en-US"/>
              </w:rPr>
            </w:pPr>
            <w:r w:rsidRPr="004D7957">
              <w:rPr>
                <w:rFonts w:eastAsia="Times New Roman"/>
                <w:color w:val="000000"/>
                <w:szCs w:val="24"/>
                <w:lang w:bidi="en-US"/>
              </w:rPr>
              <w:t>128,2</w:t>
            </w:r>
          </w:p>
        </w:tc>
      </w:tr>
      <w:tr w:rsidR="004D7957" w:rsidRPr="004D7957" w14:paraId="2AFEE67F" w14:textId="77777777" w:rsidTr="00392D9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7849E" w14:textId="77777777" w:rsidR="004D7957" w:rsidRPr="004D7957" w:rsidRDefault="004D7957" w:rsidP="004D7957">
            <w:pPr>
              <w:autoSpaceDN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4"/>
                <w:lang w:val="en-US" w:bidi="en-US"/>
              </w:rPr>
            </w:pPr>
            <w:proofErr w:type="spellStart"/>
            <w:r w:rsidRPr="004D7957">
              <w:rPr>
                <w:rFonts w:eastAsia="Times New Roman"/>
                <w:bCs/>
                <w:szCs w:val="24"/>
                <w:lang w:val="en-US" w:bidi="en-US"/>
              </w:rPr>
              <w:t>Расходы</w:t>
            </w:r>
            <w:proofErr w:type="spellEnd"/>
            <w:r w:rsidRPr="004D7957">
              <w:rPr>
                <w:rFonts w:eastAsia="Times New Roman"/>
                <w:bCs/>
                <w:szCs w:val="24"/>
                <w:lang w:val="en-US" w:bidi="en-US"/>
              </w:rPr>
              <w:t xml:space="preserve"> </w:t>
            </w:r>
            <w:r w:rsidRPr="004D7957">
              <w:rPr>
                <w:rFonts w:eastAsia="Times New Roman"/>
                <w:szCs w:val="24"/>
                <w:lang w:val="en-US" w:bidi="en-US"/>
              </w:rPr>
              <w:t xml:space="preserve">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7385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2 303,2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9228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104,6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BE08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2 764,6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06E8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120,0</w:t>
            </w:r>
          </w:p>
        </w:tc>
      </w:tr>
      <w:tr w:rsidR="004D7957" w:rsidRPr="004D7957" w14:paraId="61343D83" w14:textId="77777777" w:rsidTr="00392D9F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656A" w14:textId="77777777" w:rsidR="004D7957" w:rsidRPr="004D7957" w:rsidRDefault="004D7957" w:rsidP="004D7957">
            <w:pPr>
              <w:autoSpaceDN w:val="0"/>
              <w:spacing w:line="276" w:lineRule="auto"/>
              <w:ind w:right="-108" w:firstLine="29"/>
              <w:jc w:val="left"/>
              <w:rPr>
                <w:rFonts w:eastAsia="Times New Roman"/>
                <w:bCs/>
                <w:szCs w:val="24"/>
                <w:lang w:bidi="en-US"/>
              </w:rPr>
            </w:pPr>
            <w:proofErr w:type="spellStart"/>
            <w:r w:rsidRPr="004D7957">
              <w:rPr>
                <w:rFonts w:eastAsia="Times New Roman"/>
                <w:bCs/>
                <w:szCs w:val="24"/>
                <w:lang w:val="en-US" w:bidi="en-US"/>
              </w:rPr>
              <w:t>Дефицит</w:t>
            </w:r>
            <w:proofErr w:type="spellEnd"/>
            <w:r w:rsidRPr="004D7957">
              <w:rPr>
                <w:rFonts w:eastAsia="Times New Roman"/>
                <w:bCs/>
                <w:szCs w:val="24"/>
                <w:lang w:bidi="en-US"/>
              </w:rPr>
              <w:t xml:space="preserve"> (-)</w:t>
            </w:r>
            <w:r w:rsidRPr="004D7957">
              <w:rPr>
                <w:rFonts w:eastAsia="Times New Roman"/>
                <w:bCs/>
                <w:szCs w:val="24"/>
                <w:lang w:val="en-US" w:bidi="en-US"/>
              </w:rPr>
              <w:t xml:space="preserve"> </w:t>
            </w:r>
            <w:r w:rsidRPr="004D7957">
              <w:rPr>
                <w:rFonts w:eastAsia="Times New Roman"/>
                <w:bCs/>
                <w:szCs w:val="24"/>
                <w:lang w:bidi="en-US"/>
              </w:rPr>
              <w:t>/ Профицит(+)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4DBA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22,4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B794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eastAsia="Times New Roman"/>
                <w:bCs/>
                <w:szCs w:val="24"/>
                <w:lang w:val="en-US" w:bidi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EE4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4"/>
                <w:lang w:bidi="en-US"/>
              </w:rPr>
            </w:pPr>
            <w:r w:rsidRPr="004D7957">
              <w:rPr>
                <w:rFonts w:eastAsia="Times New Roman"/>
                <w:bCs/>
                <w:szCs w:val="24"/>
                <w:lang w:bidi="en-US"/>
              </w:rPr>
              <w:t>25,8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0D8" w14:textId="77777777" w:rsidR="004D7957" w:rsidRPr="004D7957" w:rsidRDefault="004D7957" w:rsidP="004D795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eastAsia="Times New Roman"/>
                <w:bCs/>
                <w:szCs w:val="24"/>
                <w:lang w:val="en-US" w:bidi="en-US"/>
              </w:rPr>
            </w:pPr>
          </w:p>
        </w:tc>
      </w:tr>
    </w:tbl>
    <w:p w14:paraId="2C28ABEC" w14:textId="77777777" w:rsidR="004D7957" w:rsidRPr="004D7957" w:rsidRDefault="004D7957" w:rsidP="004D7957">
      <w:pPr>
        <w:autoSpaceDN w:val="0"/>
        <w:spacing w:line="276" w:lineRule="auto"/>
        <w:ind w:firstLine="567"/>
        <w:jc w:val="left"/>
        <w:rPr>
          <w:rFonts w:eastAsia="Times New Roman"/>
          <w:szCs w:val="24"/>
          <w:lang w:bidi="en-US"/>
        </w:rPr>
      </w:pPr>
    </w:p>
    <w:p w14:paraId="2F5854B4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Доходы бюджета Балахнинского муниципального округа в 2022 году получены в объеме 2 790,4 млн. рублей и увеличились за 2021-2022 годы на 544,0 млн. рублей или на 24,2%.</w:t>
      </w:r>
    </w:p>
    <w:p w14:paraId="6AB63A4E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Расходы бюджета Балахнинского муниципального округа в 2022 году исполнены в объеме 2 764,6 млн. рублей и увеличились за 2021-2022 годы на 561,8 млн. рублей или на 25,5%.</w:t>
      </w:r>
    </w:p>
    <w:p w14:paraId="6BE7B606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Наибольший удельный вес в расходах бюджета занимают расходы на отрасли социальной сферы – ежегодно более 65% в общем объеме расходов.</w:t>
      </w:r>
    </w:p>
    <w:p w14:paraId="333EEF67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Обеспечено своевременное исполнение принятых расходных обязательств, в том числе по сохранению параметров по уровню заработной платы отдельных категорий работников социальной сферы, установленных Указами Президента Российской Федерации от 7 мая 2012 года №597 «О мероприятиях по реализации государственной социальной политики», реализации национальных проектов, капитальному ремонту объектов социальной инфраструктуры, строительству новых социальных объектов.</w:t>
      </w:r>
    </w:p>
    <w:p w14:paraId="10731990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bCs/>
          <w:szCs w:val="24"/>
          <w:lang w:bidi="en-US"/>
        </w:rPr>
      </w:pPr>
      <w:r w:rsidRPr="004D7957">
        <w:rPr>
          <w:rFonts w:eastAsia="Times New Roman"/>
          <w:bCs/>
          <w:szCs w:val="24"/>
          <w:lang w:bidi="en-US"/>
        </w:rPr>
        <w:t>Балахнинский муниципальный округ в 2022 году принял участие в реализации 4 (четырех) национальных проектах. Объем исполнения за 2022 год за счет федеральных, областных средств и средств бюджета округа составил 209,5 млн. рублей.</w:t>
      </w:r>
    </w:p>
    <w:p w14:paraId="2AA8664E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bCs/>
          <w:szCs w:val="24"/>
          <w:lang w:bidi="en-US"/>
        </w:rPr>
        <w:t>Основной объем средств был направлен на национальный проект «Жилье и городская среда».</w:t>
      </w:r>
    </w:p>
    <w:p w14:paraId="196992A2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Кроме того, с привлечением средств федерального, областного бюджетов реализованы мероприятия по развитию образования, культуры, спорта, сельского хозяйства, реализованы программы обеспечения жильем отдельных категорий граждан.</w:t>
      </w:r>
    </w:p>
    <w:p w14:paraId="022B1198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Проводилась эффективная долговая политика, в том числе посредством</w:t>
      </w:r>
      <w:r w:rsidRPr="004D7957">
        <w:rPr>
          <w:rFonts w:eastAsia="Times New Roman"/>
          <w:strike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привлечения кредитных ресурсов в форме возобновляемых кредитных линий, а</w:t>
      </w:r>
      <w:r w:rsidRPr="004D7957">
        <w:rPr>
          <w:rFonts w:eastAsia="Times New Roman"/>
          <w:strike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также применения механизма получения бюджетных кредитов для замещения рыночных долговых обязательств муниципального округа, что позволило не привлекать рыночные заимствования для погашения существующих долговых обязательств и избежать расходов на оплату процентов по ним.</w:t>
      </w:r>
    </w:p>
    <w:p w14:paraId="494EA54C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bidi="en-US"/>
        </w:rPr>
        <w:t>Муниципальный долг на 1 января 2023 года составил 210,0 млн. рублей. За 2022 год объем долга муниципального округа не изменился.</w:t>
      </w:r>
    </w:p>
    <w:p w14:paraId="69282D79" w14:textId="0CB3EECA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Структура муниципального долга состоит из кредитов коммерческих банков и бюджетных кредитов. </w:t>
      </w:r>
    </w:p>
    <w:p w14:paraId="45657C22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t xml:space="preserve">По итогам 2022 года налоговые и неналоговые доходы в бюджет Балахнинского муниципального округа получены в объеме 854,1 млн. рублей, по сравнению с 2021 годом увеличились на 39,2 млн. рублей или на 4,8%. </w:t>
      </w:r>
    </w:p>
    <w:p w14:paraId="615803E2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t>По итогам 2022 года профицит местного бюджета составил 25,8 млн. рублей.</w:t>
      </w:r>
    </w:p>
    <w:p w14:paraId="0899E5A6" w14:textId="77777777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t>В целях повышения качества бюджетного планирования, повышения результативности и эффективности использования средств в 2021–2022 годах проводилась работа по следующим направлениям:</w:t>
      </w:r>
    </w:p>
    <w:p w14:paraId="130BBE0A" w14:textId="6465E1F6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lastRenderedPageBreak/>
        <w:t>- формирование и исполнение бюджета округа в программном формате на основе муниципальных программ Балахнинского муниципального округа;</w:t>
      </w:r>
    </w:p>
    <w:p w14:paraId="448649F8" w14:textId="77777777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t>-</w:t>
      </w:r>
      <w:r w:rsidRPr="004D7957">
        <w:rPr>
          <w:rFonts w:eastAsia="Times New Roman"/>
          <w:szCs w:val="24"/>
          <w:lang w:eastAsia="ru-RU"/>
        </w:rPr>
        <w:t xml:space="preserve"> формирование и исполнение местного бюджета с использованием единой комплексной системы управления бюджетным процессом "Государственная информационная система управления общественными финансами министерства финансов Нижегородской области";</w:t>
      </w:r>
    </w:p>
    <w:p w14:paraId="6ED07BBE" w14:textId="3C3CA39A" w:rsidR="004D7957" w:rsidRPr="004D7957" w:rsidRDefault="004D7957" w:rsidP="004D7957">
      <w:pPr>
        <w:widowControl w:val="0"/>
        <w:tabs>
          <w:tab w:val="left" w:pos="1488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проведение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оценки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налоговых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расходов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Балахнинского муниципального округа Нижегородской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области;</w:t>
      </w:r>
    </w:p>
    <w:p w14:paraId="4F282142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проведение оценки эффективности муниципальных программ Балахнинского муниципального округа, предусматривающей комплексный подход к оценке программ с учетом качества их формирования и эффективности реализации; </w:t>
      </w:r>
    </w:p>
    <w:p w14:paraId="5190B6EB" w14:textId="7D5D3112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t xml:space="preserve">- ежегодное формирование муниципальных заданий на оказание муниципальных услуг (выполнение работ) в отношении муниципальных учреждений Балахнинского муниципального округа; </w:t>
      </w:r>
    </w:p>
    <w:p w14:paraId="37C63C53" w14:textId="7B306F7B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t>- сохранение безопасного уровня долговой нагрузки и безусловное выполнение принятых долговых обязательств Балахнинского муниципального округа;</w:t>
      </w:r>
    </w:p>
    <w:p w14:paraId="4B0505A8" w14:textId="0C31A9EA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t>- обеспечение открытости и прозрачности информации о бюджетном процессе, об исполнении бюджета округа, о бюджетных и социально-экономических показателях округа посредством информационно-телекоммуникационной сети "Интернет";</w:t>
      </w:r>
    </w:p>
    <w:p w14:paraId="1AB6DF24" w14:textId="68501C98" w:rsidR="004D7957" w:rsidRPr="004D7957" w:rsidRDefault="004D7957" w:rsidP="004D7957">
      <w:pPr>
        <w:autoSpaceDE w:val="0"/>
        <w:autoSpaceDN w:val="0"/>
        <w:spacing w:line="276" w:lineRule="auto"/>
        <w:ind w:firstLine="567"/>
        <w:outlineLvl w:val="1"/>
        <w:rPr>
          <w:rFonts w:eastAsia="Times New Roman"/>
          <w:szCs w:val="24"/>
          <w:lang w:eastAsia="ru-RU" w:bidi="en-US"/>
        </w:rPr>
      </w:pPr>
      <w:r w:rsidRPr="004D7957">
        <w:rPr>
          <w:rFonts w:eastAsia="Times New Roman"/>
          <w:szCs w:val="24"/>
          <w:lang w:eastAsia="ru-RU" w:bidi="en-US"/>
        </w:rPr>
        <w:t>- ежегодное проведение публичных слушаний по годовому отчету об исполнении бюджета округа и по проекту бюджета округа на очередной финансовый год и на плановый период в целях повышения информационной открытости деятельности Администрации Балахнинского муниципального округа и выявления общественного мнения по вопросам формирования и исполнения бюджета округа.</w:t>
      </w:r>
    </w:p>
    <w:p w14:paraId="749B2B23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FF0000"/>
          <w:szCs w:val="24"/>
        </w:rPr>
      </w:pPr>
      <w:r w:rsidRPr="004D7957">
        <w:rPr>
          <w:rFonts w:eastAsia="Times New Roman"/>
          <w:color w:val="000000"/>
          <w:szCs w:val="24"/>
        </w:rPr>
        <w:t xml:space="preserve">Исполнение бюджета Балахнинского муниципального округа за январь - август 2023 года составило по доходам 1 628,9 млн. рублей или 57,3% от плановых назначений, что больше уровня аналогичного периода 2022 года на 66,5 млн. рублей, по расходам </w:t>
      </w:r>
      <w:r w:rsidRPr="004D7957">
        <w:rPr>
          <w:rFonts w:eastAsia="Times New Roman"/>
          <w:szCs w:val="24"/>
        </w:rPr>
        <w:t>1 633,7 млн.</w:t>
      </w:r>
      <w:r w:rsidRPr="004D7957">
        <w:rPr>
          <w:rFonts w:eastAsia="Times New Roman"/>
          <w:color w:val="000000"/>
          <w:szCs w:val="24"/>
        </w:rPr>
        <w:t xml:space="preserve"> рублей или </w:t>
      </w:r>
      <w:r w:rsidRPr="004D7957">
        <w:rPr>
          <w:rFonts w:eastAsia="Times New Roman"/>
          <w:szCs w:val="24"/>
        </w:rPr>
        <w:t>54,3</w:t>
      </w:r>
      <w:r w:rsidRPr="004D7957">
        <w:rPr>
          <w:rFonts w:eastAsia="Times New Roman"/>
          <w:color w:val="000000"/>
          <w:szCs w:val="24"/>
        </w:rPr>
        <w:t xml:space="preserve">% от плановых назначений, что больше уровня аналогичного периода 2022 года на </w:t>
      </w:r>
      <w:r w:rsidRPr="004D7957">
        <w:rPr>
          <w:rFonts w:eastAsia="Times New Roman"/>
          <w:szCs w:val="24"/>
        </w:rPr>
        <w:t>119,3</w:t>
      </w:r>
      <w:r w:rsidRPr="004D7957">
        <w:rPr>
          <w:rFonts w:eastAsia="Times New Roman"/>
          <w:color w:val="000000"/>
          <w:szCs w:val="24"/>
        </w:rPr>
        <w:t xml:space="preserve"> млн. рублей.</w:t>
      </w:r>
    </w:p>
    <w:p w14:paraId="7FD2CD5B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</w:p>
    <w:p w14:paraId="551D0EC6" w14:textId="77777777" w:rsidR="004D7957" w:rsidRPr="004D7957" w:rsidRDefault="004D7957" w:rsidP="004D7957">
      <w:pPr>
        <w:autoSpaceDN w:val="0"/>
        <w:spacing w:line="276" w:lineRule="auto"/>
        <w:ind w:left="720" w:firstLine="0"/>
        <w:jc w:val="center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2. Основные направления налоговой политики</w:t>
      </w:r>
    </w:p>
    <w:p w14:paraId="56CC9F5D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b/>
          <w:szCs w:val="24"/>
          <w:lang w:bidi="en-US"/>
        </w:rPr>
      </w:pPr>
    </w:p>
    <w:p w14:paraId="030AA009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Налоговая политика Балахнинского муниципального округа в 2024 - 2026 годах, как и в предыдущие годы, будет направлена на обеспечение поступления в бюджет Балахнинского муниципального округа (далее – бюджет округа)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 округа.</w:t>
      </w:r>
    </w:p>
    <w:p w14:paraId="49AA264D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Приоритетами налоговой политики в ближайшие три года, как и прежде,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14:paraId="1F8C382F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Основными направлениями налоговой политики в Балахнинском муниципальном округе на 2024-2026 годы определены:</w:t>
      </w:r>
    </w:p>
    <w:p w14:paraId="6154363E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увеличение налогового потенциала Балахнинского муниципального округа (далее - округ) за счет налогового стимулирования деловой активности в округе, привлечения инвестиций, реализации высокоэффективных инвестиционных и инновационных проектов;</w:t>
      </w:r>
    </w:p>
    <w:p w14:paraId="76B1DA30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продолжение политики обоснованности и эффективности применения налоговых льгот, отмена неэффективных и невостребованных льгот;</w:t>
      </w:r>
    </w:p>
    <w:p w14:paraId="200C5255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государственная поддержка приоритетных отраслей экономики и организаций малого и среднего бизнеса;</w:t>
      </w:r>
    </w:p>
    <w:p w14:paraId="13BF5A21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lastRenderedPageBreak/>
        <w:t>- взаимовыгодное сотрудничество с организациями, формирующими налоговый потенциал округа;</w:t>
      </w:r>
    </w:p>
    <w:p w14:paraId="2EF14FE6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округа и выполнение в полном объеме утвержденных годовых назначений по доходам бюджета округа, активизация претензионно-исковой деятельности;</w:t>
      </w:r>
    </w:p>
    <w:p w14:paraId="7A92EEF6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проведение мероприятий по повышению эффективности управления государственной и муниципальной собственностью, природными ресурсами, в том числе выявление земельных участков, используемых не по целевому назначению.</w:t>
      </w:r>
    </w:p>
    <w:p w14:paraId="71E64D59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В 2024-2026 годах продолжится работа по проведению оценки эффективности налоговых расходов округа, отмене неэффективных налоговых льгот. Будут сохранены подходы к установлению налоговых льгот при условии положительной оценки их эффективности. По результатам оценки за 2022 год все налоговые расходы округа будут сохранены.</w:t>
      </w:r>
    </w:p>
    <w:p w14:paraId="2B324472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t xml:space="preserve">Формирование налоговых и неналоговых доходов будет основываться на вступающих в силу на федеральном и региональном уровне, а также планируемых к принятию с 2024 года следующих изменениях законодательства: </w:t>
      </w:r>
    </w:p>
    <w:p w14:paraId="42789FA8" w14:textId="77777777" w:rsidR="004D7957" w:rsidRPr="004D7957" w:rsidRDefault="004D7957" w:rsidP="004D7957">
      <w:pPr>
        <w:widowControl w:val="0"/>
        <w:tabs>
          <w:tab w:val="left" w:pos="1162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</w:t>
      </w:r>
      <w:r w:rsidRPr="004D7957">
        <w:rPr>
          <w:rFonts w:eastAsia="Times New Roman"/>
          <w:szCs w:val="24"/>
          <w:lang w:eastAsia="ru-RU"/>
        </w:rPr>
        <w:t>до 31 декабря 2026 г. продлевается действие 50%-</w:t>
      </w:r>
      <w:proofErr w:type="spellStart"/>
      <w:r w:rsidRPr="004D7957">
        <w:rPr>
          <w:rFonts w:eastAsia="Times New Roman"/>
          <w:szCs w:val="24"/>
          <w:lang w:eastAsia="ru-RU"/>
        </w:rPr>
        <w:t>ного</w:t>
      </w:r>
      <w:proofErr w:type="spellEnd"/>
      <w:r w:rsidRPr="004D7957">
        <w:rPr>
          <w:rFonts w:eastAsia="Times New Roman"/>
          <w:szCs w:val="24"/>
          <w:lang w:eastAsia="ru-RU"/>
        </w:rPr>
        <w:t xml:space="preserve"> ограничения</w:t>
      </w:r>
      <w:r w:rsidRPr="004D7957">
        <w:rPr>
          <w:rFonts w:eastAsia="Times New Roman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eastAsia="ru-RU"/>
        </w:rPr>
        <w:t>по учету в текущем налоговом периоде убытков, полученных в предыдущих налоговых периодах, учитываемого при формировании налогооблагаемой базы по налогу на прибыль организаций</w:t>
      </w:r>
      <w:r w:rsidRPr="004D7957">
        <w:rPr>
          <w:rFonts w:eastAsia="Times New Roman"/>
          <w:szCs w:val="24"/>
          <w:lang w:bidi="en-US"/>
        </w:rPr>
        <w:t>;</w:t>
      </w:r>
    </w:p>
    <w:p w14:paraId="2891CC7F" w14:textId="77777777" w:rsidR="004D7957" w:rsidRPr="004D7957" w:rsidRDefault="004D7957" w:rsidP="004D7957">
      <w:pPr>
        <w:widowControl w:val="0"/>
        <w:tabs>
          <w:tab w:val="left" w:pos="1162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</w:t>
      </w:r>
      <w:r w:rsidRPr="004D7957">
        <w:rPr>
          <w:rFonts w:eastAsia="Times New Roman"/>
          <w:szCs w:val="24"/>
          <w:lang w:eastAsia="ru-RU"/>
        </w:rPr>
        <w:t>с 1 января 2024 г. увеличивается предельный размер социального вычета по НДФЛ в части расходов на обучение детей с 50 тыс. рублей до 110 тыс. рублей на каждого ребенка, а также по иным расходам (на собственное образование, медицинские услуги и лекарства, физкультурно-оздоровительные услуги) со 120 тыс. рублей до 150 тыс. рублей;</w:t>
      </w:r>
    </w:p>
    <w:p w14:paraId="7C5EDD27" w14:textId="77777777" w:rsidR="004D7957" w:rsidRPr="004D7957" w:rsidRDefault="004D7957" w:rsidP="004D7957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с 1 января 2024 г. увеличиваются ставки акцизов на алкогольную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продукцию с объемной долей этилового спирта свыше 9% на 4,9%, вина,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фруктовые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вина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–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на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5,9%,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пиво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–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на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4,0%,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на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автомобильный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бензин класса 5,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дизельное</w:t>
      </w:r>
      <w:r w:rsidRPr="004D7957">
        <w:rPr>
          <w:rFonts w:eastAsia="Times New Roman"/>
          <w:spacing w:val="-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топливо</w:t>
      </w:r>
      <w:r w:rsidRPr="004D7957">
        <w:rPr>
          <w:rFonts w:eastAsia="Times New Roman"/>
          <w:spacing w:val="-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 моторные масла</w:t>
      </w:r>
      <w:r w:rsidRPr="004D7957">
        <w:rPr>
          <w:rFonts w:eastAsia="Times New Roman"/>
          <w:spacing w:val="-3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на</w:t>
      </w:r>
      <w:r w:rsidRPr="004D7957">
        <w:rPr>
          <w:rFonts w:eastAsia="Times New Roman"/>
          <w:spacing w:val="-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4,9%;</w:t>
      </w:r>
    </w:p>
    <w:p w14:paraId="5E572A23" w14:textId="77777777" w:rsidR="004D7957" w:rsidRPr="004D7957" w:rsidRDefault="004D7957" w:rsidP="004D7957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eastAsia="ru-RU"/>
        </w:rPr>
      </w:pPr>
      <w:r w:rsidRPr="004D7957">
        <w:rPr>
          <w:rFonts w:eastAsia="Times New Roman"/>
          <w:szCs w:val="24"/>
          <w:lang w:bidi="en-US"/>
        </w:rPr>
        <w:t xml:space="preserve">- </w:t>
      </w:r>
      <w:r w:rsidRPr="004D7957">
        <w:rPr>
          <w:rFonts w:eastAsia="Times New Roman"/>
          <w:szCs w:val="24"/>
          <w:lang w:eastAsia="ru-RU"/>
        </w:rPr>
        <w:t>на 2024 год планируется установить коэффициент, используемый для расчета суммы фиксированного авансового платежа по налогу на доходы физических лиц для иностранных граждан в Нижегородской области в размере 2,3;</w:t>
      </w:r>
    </w:p>
    <w:p w14:paraId="50F85C0D" w14:textId="77777777" w:rsidR="004D7957" w:rsidRPr="004D7957" w:rsidRDefault="004D7957" w:rsidP="004D7957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eastAsia="ru-RU"/>
        </w:rPr>
        <w:t>- в 2024 году организации будут уплачивать налог на имущество исходя из кадастровой стоимости объектов недвижимости, определенной в ходе государственной кадастровой оценки в 2023 году;</w:t>
      </w:r>
    </w:p>
    <w:p w14:paraId="62F048AB" w14:textId="77777777" w:rsidR="004D7957" w:rsidRPr="004D7957" w:rsidRDefault="004D7957" w:rsidP="004D7957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</w:t>
      </w:r>
      <w:r w:rsidRPr="004D7957">
        <w:rPr>
          <w:rFonts w:eastAsia="Times New Roman"/>
          <w:szCs w:val="24"/>
          <w:lang w:eastAsia="ru-RU"/>
        </w:rPr>
        <w:t>в 2024 году физические лица будут уплачивать земельный налог за 2023 год по кадастровой стоимости земельных участков, определенной в ходе государственной кадастровой оценки в 2022 году;</w:t>
      </w:r>
    </w:p>
    <w:p w14:paraId="3720C22E" w14:textId="1FF9D811" w:rsidR="004D7957" w:rsidRPr="004D7957" w:rsidRDefault="004D7957" w:rsidP="004D7957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</w:t>
      </w:r>
      <w:r w:rsidRPr="004D7957">
        <w:rPr>
          <w:rFonts w:eastAsia="Times New Roman"/>
          <w:szCs w:val="24"/>
          <w:lang w:eastAsia="ru-RU"/>
        </w:rPr>
        <w:t>планируется установление на соответствующий год коэффициентов индексации арендной платы за земельные участки, находящиеся в муниципальной собственности округа и земельные участки, государственная собственность на которые не разграничена, а также арендной платы за объекты нежилого фонда муниципальной собственности на уровне планируемого среднегодового индекса потребительских цен</w:t>
      </w:r>
      <w:r w:rsidRPr="004D7957">
        <w:rPr>
          <w:rFonts w:eastAsia="Times New Roman"/>
          <w:szCs w:val="24"/>
          <w:lang w:bidi="en-US"/>
        </w:rPr>
        <w:t>.</w:t>
      </w:r>
    </w:p>
    <w:p w14:paraId="7EC6346D" w14:textId="77777777" w:rsidR="004D7957" w:rsidRPr="004D7957" w:rsidRDefault="004D7957" w:rsidP="004D7957">
      <w:pPr>
        <w:widowControl w:val="0"/>
        <w:tabs>
          <w:tab w:val="left" w:pos="1200"/>
        </w:tabs>
        <w:autoSpaceDE w:val="0"/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14D63203" w14:textId="03A7C164" w:rsidR="004D7957" w:rsidRPr="004D7957" w:rsidRDefault="004D7957" w:rsidP="004D7957">
      <w:pPr>
        <w:autoSpaceDN w:val="0"/>
        <w:spacing w:line="276" w:lineRule="auto"/>
        <w:ind w:left="585" w:firstLine="0"/>
        <w:jc w:val="center"/>
        <w:rPr>
          <w:rFonts w:eastAsia="Times New Roman"/>
          <w:b/>
          <w:szCs w:val="24"/>
          <w:lang w:bidi="en-US"/>
        </w:rPr>
      </w:pPr>
      <w:r>
        <w:rPr>
          <w:rFonts w:eastAsia="Times New Roman"/>
          <w:b/>
          <w:szCs w:val="24"/>
          <w:lang w:bidi="en-US"/>
        </w:rPr>
        <w:t xml:space="preserve">3. </w:t>
      </w:r>
      <w:r w:rsidRPr="004D7957">
        <w:rPr>
          <w:rFonts w:eastAsia="Times New Roman"/>
          <w:b/>
          <w:szCs w:val="24"/>
          <w:lang w:bidi="en-US"/>
        </w:rPr>
        <w:t>Основные направления бюджетной политики</w:t>
      </w:r>
    </w:p>
    <w:p w14:paraId="78494CAB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highlight w:val="yellow"/>
          <w:lang w:bidi="en-US"/>
        </w:rPr>
      </w:pPr>
    </w:p>
    <w:p w14:paraId="2F0F2313" w14:textId="77777777" w:rsidR="004D7957" w:rsidRPr="004D7957" w:rsidRDefault="004D7957" w:rsidP="004D7957">
      <w:pPr>
        <w:widowControl w:val="0"/>
        <w:autoSpaceDE w:val="0"/>
        <w:autoSpaceDN w:val="0"/>
        <w:spacing w:before="1"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  <w:lang w:eastAsia="ru-RU"/>
        </w:rPr>
        <w:t xml:space="preserve">Основной задачей бюджетной политики на планируемый период </w:t>
      </w:r>
      <w:r w:rsidRPr="004D7957">
        <w:rPr>
          <w:rFonts w:eastAsia="Times New Roman"/>
          <w:szCs w:val="24"/>
        </w:rPr>
        <w:t>остается</w:t>
      </w:r>
      <w:r w:rsidRPr="004D7957">
        <w:rPr>
          <w:rFonts w:eastAsia="Times New Roman"/>
          <w:spacing w:val="1"/>
          <w:szCs w:val="24"/>
        </w:rPr>
        <w:t xml:space="preserve"> </w:t>
      </w:r>
      <w:r w:rsidRPr="004D7957">
        <w:rPr>
          <w:rFonts w:eastAsia="Times New Roman"/>
          <w:szCs w:val="24"/>
        </w:rPr>
        <w:t>обеспечение</w:t>
      </w:r>
      <w:r w:rsidRPr="004D7957">
        <w:rPr>
          <w:rFonts w:eastAsia="Times New Roman"/>
          <w:spacing w:val="1"/>
          <w:szCs w:val="24"/>
        </w:rPr>
        <w:t xml:space="preserve"> </w:t>
      </w:r>
      <w:r w:rsidRPr="004D7957">
        <w:rPr>
          <w:rFonts w:eastAsia="Times New Roman"/>
          <w:szCs w:val="24"/>
        </w:rPr>
        <w:t>сбалансированности</w:t>
      </w:r>
      <w:r w:rsidRPr="004D7957">
        <w:rPr>
          <w:rFonts w:eastAsia="Times New Roman"/>
          <w:spacing w:val="1"/>
          <w:szCs w:val="24"/>
        </w:rPr>
        <w:t xml:space="preserve"> </w:t>
      </w:r>
      <w:r w:rsidRPr="004D7957">
        <w:rPr>
          <w:rFonts w:eastAsia="Times New Roman"/>
          <w:szCs w:val="24"/>
        </w:rPr>
        <w:t>и</w:t>
      </w:r>
      <w:r w:rsidRPr="004D7957">
        <w:rPr>
          <w:rFonts w:eastAsia="Times New Roman"/>
          <w:spacing w:val="1"/>
          <w:szCs w:val="24"/>
        </w:rPr>
        <w:t xml:space="preserve"> </w:t>
      </w:r>
      <w:r w:rsidRPr="004D7957">
        <w:rPr>
          <w:rFonts w:eastAsia="Times New Roman"/>
          <w:szCs w:val="24"/>
        </w:rPr>
        <w:t>устойчивости</w:t>
      </w:r>
      <w:r w:rsidRPr="004D7957">
        <w:rPr>
          <w:rFonts w:eastAsia="Times New Roman"/>
          <w:spacing w:val="1"/>
          <w:szCs w:val="24"/>
        </w:rPr>
        <w:t xml:space="preserve"> </w:t>
      </w:r>
      <w:r w:rsidRPr="004D7957">
        <w:rPr>
          <w:rFonts w:eastAsia="Times New Roman"/>
          <w:szCs w:val="24"/>
        </w:rPr>
        <w:t>бюджета</w:t>
      </w:r>
      <w:r w:rsidRPr="004D7957">
        <w:rPr>
          <w:rFonts w:eastAsia="Times New Roman"/>
          <w:spacing w:val="-2"/>
          <w:szCs w:val="24"/>
        </w:rPr>
        <w:t xml:space="preserve"> </w:t>
      </w:r>
      <w:r w:rsidRPr="004D7957">
        <w:rPr>
          <w:rFonts w:eastAsia="Times New Roman"/>
          <w:szCs w:val="24"/>
        </w:rPr>
        <w:t>Балахнинского муниципального округа,</w:t>
      </w:r>
      <w:r w:rsidRPr="004D7957">
        <w:rPr>
          <w:rFonts w:eastAsia="Times New Roman"/>
          <w:spacing w:val="-1"/>
          <w:szCs w:val="24"/>
        </w:rPr>
        <w:t xml:space="preserve"> </w:t>
      </w:r>
      <w:r w:rsidRPr="004D7957">
        <w:rPr>
          <w:rFonts w:eastAsia="Times New Roman"/>
          <w:szCs w:val="24"/>
        </w:rPr>
        <w:t>в</w:t>
      </w:r>
      <w:r w:rsidRPr="004D7957">
        <w:rPr>
          <w:rFonts w:eastAsia="Times New Roman"/>
          <w:spacing w:val="-1"/>
          <w:szCs w:val="24"/>
        </w:rPr>
        <w:t xml:space="preserve"> </w:t>
      </w:r>
      <w:r w:rsidRPr="004D7957">
        <w:rPr>
          <w:rFonts w:eastAsia="Times New Roman"/>
          <w:szCs w:val="24"/>
        </w:rPr>
        <w:t>том</w:t>
      </w:r>
      <w:r w:rsidRPr="004D7957">
        <w:rPr>
          <w:rFonts w:eastAsia="Times New Roman"/>
          <w:spacing w:val="-1"/>
          <w:szCs w:val="24"/>
        </w:rPr>
        <w:t xml:space="preserve"> </w:t>
      </w:r>
      <w:r w:rsidRPr="004D7957">
        <w:rPr>
          <w:rFonts w:eastAsia="Times New Roman"/>
          <w:szCs w:val="24"/>
        </w:rPr>
        <w:t>числе</w:t>
      </w:r>
      <w:r w:rsidRPr="004D7957">
        <w:rPr>
          <w:rFonts w:eastAsia="Times New Roman"/>
          <w:spacing w:val="-1"/>
          <w:szCs w:val="24"/>
        </w:rPr>
        <w:t xml:space="preserve"> </w:t>
      </w:r>
      <w:r w:rsidRPr="004D7957">
        <w:rPr>
          <w:rFonts w:eastAsia="Times New Roman"/>
          <w:szCs w:val="24"/>
        </w:rPr>
        <w:t>за</w:t>
      </w:r>
      <w:r w:rsidRPr="004D7957">
        <w:rPr>
          <w:rFonts w:eastAsia="Times New Roman"/>
          <w:spacing w:val="-1"/>
          <w:szCs w:val="24"/>
        </w:rPr>
        <w:t xml:space="preserve"> </w:t>
      </w:r>
      <w:r w:rsidRPr="004D7957">
        <w:rPr>
          <w:rFonts w:eastAsia="Times New Roman"/>
          <w:szCs w:val="24"/>
        </w:rPr>
        <w:t>счет:</w:t>
      </w:r>
    </w:p>
    <w:p w14:paraId="72C1598E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t>- формирования реалистичного прогноза поступления налоговых и неналоговых доходов;</w:t>
      </w:r>
    </w:p>
    <w:p w14:paraId="7E958BA0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lastRenderedPageBreak/>
        <w:t xml:space="preserve">- обеспечение финансовыми ресурсами в первую очередь действующих расходных обязательств, гарантированного исполнения социальных обязательств округа, осуществления взвешенного подхода к принятию новых расходных обязательств; </w:t>
      </w:r>
    </w:p>
    <w:p w14:paraId="4A1A80D2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проведения ответственной и взвешенной долговой политики, реализации мер, направленных на обеспечение безопасного уровня долговой нагрузки на бюджет округа. </w:t>
      </w:r>
    </w:p>
    <w:p w14:paraId="75CCD054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В 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средств, в том числе за счет: </w:t>
      </w:r>
    </w:p>
    <w:p w14:paraId="4D6110C3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концентрации финансовых ресурсов на достижении целей и результатов региональных проектов, направленных на реализацию национальных проектов; </w:t>
      </w:r>
    </w:p>
    <w:p w14:paraId="1FCCF88F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color w:val="000000"/>
          <w:szCs w:val="24"/>
        </w:rPr>
        <w:t>- оптимизации</w:t>
      </w:r>
      <w:r w:rsidRPr="004D7957">
        <w:rPr>
          <w:rFonts w:eastAsia="Times New Roman"/>
          <w:color w:val="000000"/>
          <w:spacing w:val="1"/>
          <w:szCs w:val="24"/>
        </w:rPr>
        <w:t xml:space="preserve"> </w:t>
      </w:r>
      <w:r w:rsidRPr="004D7957">
        <w:rPr>
          <w:rFonts w:eastAsia="Times New Roman"/>
          <w:color w:val="000000"/>
          <w:szCs w:val="24"/>
        </w:rPr>
        <w:t>и</w:t>
      </w:r>
      <w:r w:rsidRPr="004D7957">
        <w:rPr>
          <w:rFonts w:eastAsia="Times New Roman"/>
          <w:color w:val="000000"/>
          <w:spacing w:val="1"/>
          <w:szCs w:val="24"/>
        </w:rPr>
        <w:t xml:space="preserve"> </w:t>
      </w:r>
      <w:proofErr w:type="spellStart"/>
      <w:r w:rsidRPr="004D7957">
        <w:rPr>
          <w:rFonts w:eastAsia="Times New Roman"/>
          <w:color w:val="000000"/>
          <w:szCs w:val="24"/>
        </w:rPr>
        <w:t>приоритизации</w:t>
      </w:r>
      <w:proofErr w:type="spellEnd"/>
      <w:r w:rsidRPr="004D7957">
        <w:rPr>
          <w:rFonts w:eastAsia="Times New Roman"/>
          <w:color w:val="000000"/>
          <w:spacing w:val="1"/>
          <w:szCs w:val="24"/>
        </w:rPr>
        <w:t xml:space="preserve"> </w:t>
      </w:r>
      <w:r w:rsidRPr="004D7957">
        <w:rPr>
          <w:rFonts w:eastAsia="Times New Roman"/>
          <w:color w:val="000000"/>
          <w:szCs w:val="24"/>
        </w:rPr>
        <w:t>инвестиционных</w:t>
      </w:r>
      <w:r w:rsidRPr="004D7957">
        <w:rPr>
          <w:rFonts w:eastAsia="Times New Roman"/>
          <w:color w:val="000000"/>
          <w:spacing w:val="1"/>
          <w:szCs w:val="24"/>
        </w:rPr>
        <w:t xml:space="preserve"> </w:t>
      </w:r>
      <w:r w:rsidRPr="004D7957">
        <w:rPr>
          <w:rFonts w:eastAsia="Times New Roman"/>
          <w:color w:val="000000"/>
          <w:szCs w:val="24"/>
        </w:rPr>
        <w:t>расходов;</w:t>
      </w:r>
    </w:p>
    <w:p w14:paraId="1568591F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повышения операционной эффективности использования бюджетных средств; </w:t>
      </w:r>
    </w:p>
    <w:p w14:paraId="5F2FC590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повышение качества оказываемых муниципальных услуг (выполнения работ), вовлечения организаций, не являющихся муниципальными учреждениями, в процесс оказания муниципальных услуг, в том числе путем использования механизма социального заказа на оказание муниципальных услуг; </w:t>
      </w:r>
    </w:p>
    <w:p w14:paraId="46BB1435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внедрения системы управления налоговыми расходами и обеспечения ее интеграции в бюджетный процесс. </w:t>
      </w:r>
    </w:p>
    <w:p w14:paraId="12030881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Особое внимание будет уделяться повышению эффективности муниципального управления, а именно: </w:t>
      </w:r>
    </w:p>
    <w:p w14:paraId="1969E8C6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совершенствованию инструментов программного планирования, развития механизмов проектного управления; </w:t>
      </w:r>
    </w:p>
    <w:p w14:paraId="0F13B858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обеспечению своевременной корректировки муниципальных программ Балахнинского муниципального округа на основе оценки эффективности их реализации;</w:t>
      </w:r>
    </w:p>
    <w:p w14:paraId="0293B53B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повышению качества финансового менеджмента в органах местного самоуправления Балахнинского муниципального округа и муниципальных учреждениях Балахнинского муниципального округа; </w:t>
      </w:r>
    </w:p>
    <w:p w14:paraId="779C40D1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повышению эффективности процедур проведения муниципальных закупок;</w:t>
      </w:r>
    </w:p>
    <w:p w14:paraId="406F8E76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реализации принципов открытости и прозрачности управления муниципальными финансами.</w:t>
      </w:r>
    </w:p>
    <w:p w14:paraId="12B90B14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highlight w:val="yellow"/>
          <w:lang w:bidi="en-US"/>
        </w:rPr>
      </w:pPr>
    </w:p>
    <w:p w14:paraId="5FEAB94F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4. Основные подходы к формированию бюджета округа</w:t>
      </w:r>
    </w:p>
    <w:p w14:paraId="4AD3EAA2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highlight w:val="yellow"/>
          <w:lang w:bidi="en-US"/>
        </w:rPr>
      </w:pPr>
    </w:p>
    <w:p w14:paraId="3EDD2803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В основу формирования бюджетных назначений по доходным источникам бюджета округа будет принят прогноз социально-экономического развития округа на среднесрочный период (на 2024 год и на плановый период 2025 и 2026 годов), предусматривающий динамику развития экономики округа в среднесрочной перспективе и рост основных экономических показателей, влияющих на налоговую базу. </w:t>
      </w:r>
    </w:p>
    <w:p w14:paraId="4554C8CA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t xml:space="preserve">Бюджетная политика в части расходов на 2024 - 2026 годы в первую очередь будет ориентирована на безусловное достижение приоритетов и целей, определенных в Указах Президента Российской Федерации от 7 мая 2018 г. № 204 "О национальных целях и стратегических задачах развития Российской Федерации на период до 2024 года" и от 21 июля 2020 г. № 474 "О национальных целях развития Российской Федерации на период до 2030 года". </w:t>
      </w:r>
    </w:p>
    <w:p w14:paraId="60A7D515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color w:val="000000"/>
          <w:szCs w:val="24"/>
        </w:rPr>
      </w:pPr>
      <w:r w:rsidRPr="004D7957">
        <w:rPr>
          <w:rFonts w:eastAsia="Times New Roman"/>
          <w:color w:val="000000"/>
          <w:szCs w:val="24"/>
        </w:rPr>
        <w:t xml:space="preserve">В среднесрочной перспективе сохраняются следующие приоритеты бюджетных расходов: </w:t>
      </w:r>
    </w:p>
    <w:p w14:paraId="21A66F75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color w:val="000000"/>
          <w:szCs w:val="24"/>
        </w:rPr>
        <w:t xml:space="preserve">- обеспечение сохранения параметров по уровню заработной платы отдельных категорий работников социальной сферы, установленных Указами Президента Российской Федерации от 7 мая 2012 г. № 597 "О мероприятиях по реализации государственной социальной политики", от </w:t>
      </w:r>
      <w:r w:rsidRPr="004D7957">
        <w:rPr>
          <w:rFonts w:eastAsia="Times New Roman"/>
          <w:color w:val="000000"/>
          <w:szCs w:val="24"/>
        </w:rPr>
        <w:lastRenderedPageBreak/>
        <w:t>1 июня 2012 г. № 761 "О Национальной стратегии действий в интересах детей на 2012-2017 г</w:t>
      </w:r>
      <w:r w:rsidRPr="004D7957">
        <w:rPr>
          <w:rFonts w:eastAsia="Times New Roman"/>
          <w:szCs w:val="24"/>
        </w:rPr>
        <w:t xml:space="preserve">оды"; </w:t>
      </w:r>
    </w:p>
    <w:p w14:paraId="090E9367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реализация региональных проектов, обеспечивающих достижение целей, показателей и результатов федеральных проектов, входящих в состав национальных проектов Российской Федерации;</w:t>
      </w:r>
    </w:p>
    <w:p w14:paraId="0F399D3A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  <w:highlight w:val="yellow"/>
        </w:rPr>
      </w:pPr>
      <w:r w:rsidRPr="004D7957">
        <w:rPr>
          <w:rFonts w:eastAsia="Times New Roman"/>
          <w:szCs w:val="24"/>
        </w:rPr>
        <w:t>- обеспечение бесперебойного функционирования объектов    жизнеобеспечения, транспортной, логистической, социальной инфраструктуры, объектов образования, здравоохранения, социального обеспечения;</w:t>
      </w:r>
    </w:p>
    <w:p w14:paraId="30518680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обеспечение бесплатным горячим питанием учащихся начальных классов;</w:t>
      </w:r>
    </w:p>
    <w:p w14:paraId="42A19A77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поддержка молодых семей в целях улучшения жилищных условий;</w:t>
      </w:r>
    </w:p>
    <w:p w14:paraId="4CAFA963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предоставление жилых помещений детям-сиротам и лицам из их числа, реализация других жилищных программ, действующих в Нижегородской области; </w:t>
      </w:r>
    </w:p>
    <w:p w14:paraId="0A0212DC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реализация муниципальных программ, направленных на содействие устойчивому развитию экономики Балахнинского муниципального округа, поддержку приоритетных отраслей экономики и малого бизнеса; </w:t>
      </w:r>
    </w:p>
    <w:p w14:paraId="0C9A37E0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приведение в нормативное состояние автомобильных дорог общего пользования местного значения;</w:t>
      </w:r>
    </w:p>
    <w:p w14:paraId="135E3776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 xml:space="preserve">-  реализация мероприятий по формированию комфортной городской среды; </w:t>
      </w:r>
    </w:p>
    <w:p w14:paraId="20826E5B" w14:textId="77777777" w:rsidR="004D7957" w:rsidRPr="004D7957" w:rsidRDefault="004D7957" w:rsidP="004D7957">
      <w:pPr>
        <w:autoSpaceDE w:val="0"/>
        <w:autoSpaceDN w:val="0"/>
        <w:adjustRightInd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- реализация мероприятий по развитию коммунальной, инженерной и социальной инфраструктуры, в том числе в рамках комплексного развития сельских территорий;</w:t>
      </w:r>
    </w:p>
    <w:p w14:paraId="46D04D49" w14:textId="77777777" w:rsidR="004D7957" w:rsidRPr="004D7957" w:rsidRDefault="004D7957" w:rsidP="004D7957">
      <w:pPr>
        <w:widowControl w:val="0"/>
        <w:tabs>
          <w:tab w:val="left" w:pos="1524"/>
        </w:tabs>
        <w:autoSpaceDE w:val="0"/>
        <w:autoSpaceDN w:val="0"/>
        <w:spacing w:line="276" w:lineRule="auto"/>
        <w:ind w:right="587"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реализация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мероприятий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по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поддержке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развитию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агропромышленного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комплекса.</w:t>
      </w:r>
    </w:p>
    <w:p w14:paraId="4031B426" w14:textId="77777777" w:rsidR="004D7957" w:rsidRPr="004D7957" w:rsidRDefault="004D7957" w:rsidP="004D7957">
      <w:pPr>
        <w:widowControl w:val="0"/>
        <w:tabs>
          <w:tab w:val="left" w:pos="1524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продолжена практика реализации мероприятий, направленных на развитие на</w:t>
      </w:r>
      <w:r w:rsidRPr="004D7957">
        <w:rPr>
          <w:rFonts w:eastAsia="Times New Roman"/>
          <w:spacing w:val="-67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территории</w:t>
      </w:r>
      <w:r w:rsidRPr="004D7957">
        <w:rPr>
          <w:rFonts w:eastAsia="Times New Roman"/>
          <w:spacing w:val="-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Балахнинского муниципального округа</w:t>
      </w:r>
      <w:r w:rsidRPr="004D7957">
        <w:rPr>
          <w:rFonts w:eastAsia="Times New Roman"/>
          <w:spacing w:val="-2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инициативного</w:t>
      </w:r>
      <w:r w:rsidRPr="004D7957">
        <w:rPr>
          <w:rFonts w:eastAsia="Times New Roman"/>
          <w:spacing w:val="-2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бюджетирования.</w:t>
      </w:r>
    </w:p>
    <w:p w14:paraId="4DD8EC59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highlight w:val="yellow"/>
          <w:lang w:bidi="en-US"/>
        </w:rPr>
      </w:pPr>
      <w:r w:rsidRPr="004D7957">
        <w:rPr>
          <w:rFonts w:eastAsia="Times New Roman"/>
          <w:szCs w:val="24"/>
          <w:lang w:bidi="en-US"/>
        </w:rPr>
        <w:t>Основные параметры бюджета округа будут определены исходя из ожидаемого прогноза поступления доходов и с учетом необходимости соблюдения целевых показателей по уровню муниципального долга, установленных соглашением о социально-экономическом развитии и оздоровлении муниципальных финансов бюджета Балахнинского муниципального округа.</w:t>
      </w:r>
    </w:p>
    <w:p w14:paraId="15EFE44E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highlight w:val="yellow"/>
          <w:lang w:bidi="en-US"/>
        </w:rPr>
      </w:pPr>
    </w:p>
    <w:p w14:paraId="2F16533D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5. Политика в области управления муниципальным долгом</w:t>
      </w:r>
    </w:p>
    <w:p w14:paraId="068408E8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Балахнинского муниципального округа</w:t>
      </w:r>
    </w:p>
    <w:p w14:paraId="1256532C" w14:textId="05BF2D15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14C17CE1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Политика администрации Балахнинского муниципального округа в области управления муниципальным долгом в 2024-2026 годах будет основываться на Концепции управления муниципальным долгом Балахнинского муниципального округа Нижегородской области до 2025 года, утвержденной постановлением Администрации Балахнинского муниципального округа Нижегородской области от 03.02.2021 № 84.</w:t>
      </w:r>
    </w:p>
    <w:p w14:paraId="5DE07890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Долговая политика будет направлена на обеспечение устойчивого и сбалансированного исполнения бюджета округа и нацелена на сохранение безопасного уровня долговой нагрузки, безусловное выполнение принятых долговых обязательств Балахнинского муниципального округа, что будет способствовать повышению кредитного рейтинга и снижению стоимости заимствований.  </w:t>
      </w:r>
    </w:p>
    <w:p w14:paraId="077E0854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Основными задачами реализации долговой политики являются: </w:t>
      </w:r>
    </w:p>
    <w:p w14:paraId="09123418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trike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поддержание объема муниципального долга в пределах ограничений, предусмотренных соглашением о социально-экономическом развитии и оздоровлении муниципальных финансов бюджета Балахнинского муниципального округа.</w:t>
      </w:r>
      <w:r w:rsidRPr="004D7957">
        <w:rPr>
          <w:rFonts w:eastAsia="Times New Roman"/>
          <w:strike/>
          <w:szCs w:val="24"/>
          <w:lang w:bidi="en-US"/>
        </w:rPr>
        <w:t xml:space="preserve"> </w:t>
      </w:r>
    </w:p>
    <w:p w14:paraId="1A652B54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trike/>
          <w:szCs w:val="24"/>
          <w:lang w:bidi="en-US"/>
        </w:rPr>
        <w:lastRenderedPageBreak/>
        <w:t>-</w:t>
      </w:r>
      <w:r w:rsidRPr="004D7957">
        <w:rPr>
          <w:rFonts w:eastAsia="Times New Roman"/>
          <w:szCs w:val="24"/>
          <w:lang w:eastAsia="ru-RU"/>
        </w:rPr>
        <w:t>использование механизма инфраструктурных бюджетных кредитов и бюджетных кредитов на опережающее финансирование расходных обязательств, как эффективного источника финансирования инфраструктурных проектов;</w:t>
      </w:r>
    </w:p>
    <w:p w14:paraId="363BE83E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повышение эффективности муниципальных заимствований, сокращение рисков, связанных с их осуществлением; </w:t>
      </w:r>
    </w:p>
    <w:p w14:paraId="33496B3D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оптимизация источников (структуры) муниципального долга с целью минимизации стоимости его обслуживания;</w:t>
      </w:r>
    </w:p>
    <w:p w14:paraId="22A3DF66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обеспечение открытости и прозрачности информации о муниципальном долге Балахнинского муниципального округа.</w:t>
      </w:r>
    </w:p>
    <w:p w14:paraId="03BE168A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2E734E60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6. Повышение эффективности управления исполнением бюджета округа</w:t>
      </w:r>
    </w:p>
    <w:p w14:paraId="18929317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</w:p>
    <w:p w14:paraId="4A21A781" w14:textId="77777777" w:rsidR="004D7957" w:rsidRPr="004D7957" w:rsidRDefault="004D7957" w:rsidP="004D7957">
      <w:pPr>
        <w:widowControl w:val="0"/>
        <w:autoSpaceDE w:val="0"/>
        <w:autoSpaceDN w:val="0"/>
        <w:spacing w:line="276" w:lineRule="auto"/>
        <w:ind w:firstLine="567"/>
        <w:rPr>
          <w:rFonts w:eastAsia="Times New Roman"/>
          <w:szCs w:val="24"/>
        </w:rPr>
      </w:pPr>
      <w:r w:rsidRPr="004D7957">
        <w:rPr>
          <w:rFonts w:eastAsia="Times New Roman"/>
          <w:szCs w:val="24"/>
        </w:rPr>
        <w:t>В рамках повышения эффективности кассового исполнения бюджета округа планируется:</w:t>
      </w:r>
    </w:p>
    <w:p w14:paraId="0823EB04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дальнейшее совершенствование механизма казначейского сопровождения по целевым средствам;</w:t>
      </w:r>
    </w:p>
    <w:p w14:paraId="64FBA230" w14:textId="77777777" w:rsidR="004D7957" w:rsidRPr="004D7957" w:rsidRDefault="004D7957" w:rsidP="004D7957">
      <w:pPr>
        <w:widowControl w:val="0"/>
        <w:tabs>
          <w:tab w:val="left" w:pos="1226"/>
        </w:tabs>
        <w:autoSpaceDE w:val="0"/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совершенствование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процедуры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управления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средствами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на казначейском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счете бюджета округа, повышение качества прогнозирования кассового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плана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с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использованием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принципа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сбалансированности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поступлений</w:t>
      </w:r>
      <w:r w:rsidRPr="004D7957">
        <w:rPr>
          <w:rFonts w:eastAsia="Times New Roman"/>
          <w:spacing w:val="1"/>
          <w:szCs w:val="24"/>
          <w:lang w:bidi="en-US"/>
        </w:rPr>
        <w:t xml:space="preserve"> и </w:t>
      </w:r>
      <w:r w:rsidRPr="004D7957">
        <w:rPr>
          <w:rFonts w:eastAsia="Times New Roman"/>
          <w:spacing w:val="-67"/>
          <w:szCs w:val="24"/>
          <w:lang w:bidi="en-US"/>
        </w:rPr>
        <w:t xml:space="preserve">    </w:t>
      </w:r>
      <w:r w:rsidRPr="004D7957">
        <w:rPr>
          <w:rFonts w:eastAsia="Times New Roman"/>
          <w:szCs w:val="24"/>
          <w:lang w:bidi="en-US"/>
        </w:rPr>
        <w:t>перечислений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из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бюджета округа,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обеспечение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непрерывности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своевременности выплат;</w:t>
      </w:r>
    </w:p>
    <w:p w14:paraId="2489EBF2" w14:textId="77777777" w:rsidR="004D7957" w:rsidRPr="004D7957" w:rsidRDefault="004D7957" w:rsidP="004D7957">
      <w:pPr>
        <w:widowControl w:val="0"/>
        <w:tabs>
          <w:tab w:val="left" w:pos="1238"/>
        </w:tabs>
        <w:autoSpaceDE w:val="0"/>
        <w:autoSpaceDN w:val="0"/>
        <w:spacing w:before="1"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обеспечение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эффективного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полного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использования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бюджетных</w:t>
      </w:r>
      <w:r w:rsidRPr="004D7957">
        <w:rPr>
          <w:rFonts w:eastAsia="Times New Roman"/>
          <w:spacing w:val="1"/>
          <w:szCs w:val="24"/>
          <w:lang w:bidi="en-US"/>
        </w:rPr>
        <w:t xml:space="preserve"> </w:t>
      </w:r>
      <w:r w:rsidRPr="004D7957">
        <w:rPr>
          <w:rFonts w:eastAsia="Times New Roman"/>
          <w:szCs w:val="24"/>
          <w:lang w:bidi="en-US"/>
        </w:rPr>
        <w:t>средств.</w:t>
      </w:r>
    </w:p>
    <w:p w14:paraId="5A2D7AF4" w14:textId="77777777" w:rsidR="004D7957" w:rsidRPr="004D7957" w:rsidRDefault="004D7957" w:rsidP="004D7957">
      <w:pPr>
        <w:widowControl w:val="0"/>
        <w:tabs>
          <w:tab w:val="left" w:pos="1238"/>
        </w:tabs>
        <w:autoSpaceDE w:val="0"/>
        <w:autoSpaceDN w:val="0"/>
        <w:spacing w:before="1"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Повышению эффективности управления исполнением местного бюджета будет способствовать дальнейшее совершенствование единой комплексной системы управления бюджетным процессом "Государственная информационная система управления общественными финансами министерства финансов Нижегородской области", в том числе региональной информационной системы "Автоматизированный центр контроля "Государственные закупки".</w:t>
      </w:r>
    </w:p>
    <w:p w14:paraId="1DD2CCE4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3B0B1009" w14:textId="77777777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7. Политика в сфере финансового контроля</w:t>
      </w:r>
    </w:p>
    <w:p w14:paraId="3272EE81" w14:textId="77777777" w:rsidR="004D7957" w:rsidRPr="004D7957" w:rsidRDefault="004D7957" w:rsidP="004D7957">
      <w:pPr>
        <w:autoSpaceDN w:val="0"/>
        <w:spacing w:line="276" w:lineRule="auto"/>
        <w:ind w:firstLine="567"/>
        <w:jc w:val="center"/>
        <w:rPr>
          <w:rFonts w:eastAsia="Times New Roman"/>
          <w:b/>
          <w:szCs w:val="24"/>
          <w:lang w:bidi="en-US"/>
        </w:rPr>
      </w:pPr>
      <w:r w:rsidRPr="004D7957">
        <w:rPr>
          <w:rFonts w:eastAsia="Times New Roman"/>
          <w:b/>
          <w:szCs w:val="24"/>
          <w:lang w:bidi="en-US"/>
        </w:rPr>
        <w:t>и контроля в сфере закупок</w:t>
      </w:r>
    </w:p>
    <w:p w14:paraId="7E349E68" w14:textId="0C6CDB09" w:rsidR="004D7957" w:rsidRPr="004D7957" w:rsidRDefault="004D7957" w:rsidP="004D7957">
      <w:pPr>
        <w:autoSpaceDN w:val="0"/>
        <w:spacing w:line="276" w:lineRule="auto"/>
        <w:ind w:firstLine="0"/>
        <w:jc w:val="center"/>
        <w:rPr>
          <w:rFonts w:eastAsia="Times New Roman"/>
          <w:szCs w:val="24"/>
          <w:lang w:bidi="en-US"/>
        </w:rPr>
      </w:pPr>
    </w:p>
    <w:p w14:paraId="43ADE9ED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Деятельность администрации Балахнинского муниципального округа в сфере муниципального финансового контроля и контроля в сфере закупок будет направлена на: </w:t>
      </w:r>
    </w:p>
    <w:p w14:paraId="01F4038A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осуществление контрольной деятельности в целях:</w:t>
      </w:r>
    </w:p>
    <w:p w14:paraId="093881D4" w14:textId="75CC14DF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обеспечения соблюдения положений правовых актов, регулирующих бюджетные правоотношения и правоотношения в сфере закупок, правовых актов, обусловливающих публичные нормативные обязательства и обязательства по иным выплатам физическим лицам из бюджета муниципального округа, формирование доходов и осуществление расходов бюджета округа при управлении и распоряжении муниципальным имуществом и (или) его использовании,</w:t>
      </w:r>
    </w:p>
    <w:p w14:paraId="57D95A70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соблюдение условий муниципальных контрактов и договоров (соглашений) о предоставлении средств из бюджета округа, а также условий договоров (соглашений), заключенных в целях исполнения договоров (соглашений) о предоставлении средств из бюджета округа и муниципальных контрактов,</w:t>
      </w:r>
    </w:p>
    <w:p w14:paraId="486F62E7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обеспечения достоверности отчетов о результатах предоставления и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 округа;</w:t>
      </w:r>
    </w:p>
    <w:p w14:paraId="74321BDF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lastRenderedPageBreak/>
        <w:t>- стандартизацию контрольной деятельности в соответствии с федеральными стандартами внутреннего муниципального финансового контроля, предусматривающую единые принципы контрольной деятельности, правила планирования контрольных мероприятий, их проведения и оформления, реализации их результатов и правила составления отчетности о результатах контрольной деятельности, права и обязанности должностных лиц органов внутреннего муниципального финансового контроля, правила досудебного обжалования решений и действий (бездействия) органов внутреннего муниципального финансового контроля и их должностных лиц;</w:t>
      </w:r>
    </w:p>
    <w:p w14:paraId="41641FB1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проведение контрольных мероприятий, направленных на предупреждение и предотвращение нарушений бюджетного законодательства и законодательства о контрактной системе в сфере закупок, в том числе при реализации национальных и федеральных проектов; </w:t>
      </w:r>
    </w:p>
    <w:p w14:paraId="39208F82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 xml:space="preserve">- пресечение и исключение негативных последствий нарушений законодательства, обеспечение применения ответственности за нарушения бюджетного законодательства и законодательства о контрактной системе в сфере закупок; </w:t>
      </w:r>
    </w:p>
    <w:p w14:paraId="312E4FA2" w14:textId="77777777" w:rsidR="004D7957" w:rsidRPr="004D7957" w:rsidRDefault="004D7957" w:rsidP="004D7957">
      <w:pPr>
        <w:autoSpaceDN w:val="0"/>
        <w:spacing w:line="276" w:lineRule="auto"/>
        <w:ind w:firstLine="567"/>
        <w:rPr>
          <w:rFonts w:eastAsia="Times New Roman"/>
          <w:szCs w:val="24"/>
          <w:lang w:bidi="en-US"/>
        </w:rPr>
      </w:pPr>
      <w:r w:rsidRPr="004D7957">
        <w:rPr>
          <w:rFonts w:eastAsia="Times New Roman"/>
          <w:szCs w:val="24"/>
          <w:lang w:bidi="en-US"/>
        </w:rPr>
        <w:t>- проведение профилактической работы по предупреждению нарушений бюджетного законодательства и законодательства о контрактной системе в сфере закупок.</w:t>
      </w:r>
    </w:p>
    <w:p w14:paraId="58B1D8C9" w14:textId="77777777" w:rsidR="004D7957" w:rsidRPr="004D7957" w:rsidRDefault="004D7957" w:rsidP="004D7957">
      <w:pPr>
        <w:tabs>
          <w:tab w:val="left" w:pos="0"/>
        </w:tabs>
        <w:autoSpaceDN w:val="0"/>
        <w:spacing w:line="276" w:lineRule="auto"/>
        <w:ind w:firstLine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4D7957">
        <w:rPr>
          <w:rFonts w:eastAsia="Times New Roman"/>
          <w:sz w:val="28"/>
          <w:szCs w:val="28"/>
          <w:lang w:bidi="en-US"/>
        </w:rPr>
        <w:t>________________________</w:t>
      </w:r>
    </w:p>
    <w:sectPr w:rsidR="004D7957" w:rsidRPr="004D7957" w:rsidSect="004D7957">
      <w:headerReference w:type="default" r:id="rId9"/>
      <w:pgSz w:w="11906" w:h="16838"/>
      <w:pgMar w:top="567" w:right="567" w:bottom="56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2E5D9" w14:textId="77777777" w:rsidR="009A4973" w:rsidRDefault="009A4973" w:rsidP="007F0268">
      <w:r>
        <w:separator/>
      </w:r>
    </w:p>
  </w:endnote>
  <w:endnote w:type="continuationSeparator" w:id="0">
    <w:p w14:paraId="4D51733F" w14:textId="77777777" w:rsidR="009A4973" w:rsidRDefault="009A497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D177E" w14:textId="77777777" w:rsidR="009A4973" w:rsidRDefault="009A4973" w:rsidP="007F0268">
      <w:r>
        <w:separator/>
      </w:r>
    </w:p>
  </w:footnote>
  <w:footnote w:type="continuationSeparator" w:id="0">
    <w:p w14:paraId="51D0F31A" w14:textId="77777777" w:rsidR="009A4973" w:rsidRDefault="009A497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F3D9" w14:textId="77777777" w:rsidR="00F62F6A" w:rsidRDefault="00F62F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9BE4845"/>
    <w:multiLevelType w:val="hybridMultilevel"/>
    <w:tmpl w:val="21181216"/>
    <w:lvl w:ilvl="0" w:tplc="9286B040">
      <w:start w:val="3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6AF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957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7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4655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6FB1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2F6A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D7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D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8151C-DD49-4B19-8A9F-F0B4A7DB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2023-09-29T12:24:00Z</dcterms:created>
  <dcterms:modified xsi:type="dcterms:W3CDTF">2023-09-29T12:24:00Z</dcterms:modified>
</cp:coreProperties>
</file>